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A" w:rsidRDefault="001D2B3C" w:rsidP="000F1C4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OWIB Participation in </w:t>
      </w:r>
      <w:r w:rsidR="00E46316" w:rsidRPr="00A97154">
        <w:rPr>
          <w:b/>
          <w:sz w:val="24"/>
        </w:rPr>
        <w:t xml:space="preserve">Local </w:t>
      </w:r>
      <w:r w:rsidR="00C806AA">
        <w:rPr>
          <w:b/>
          <w:sz w:val="24"/>
        </w:rPr>
        <w:t xml:space="preserve">Strategic </w:t>
      </w:r>
      <w:r w:rsidR="000F1C45">
        <w:rPr>
          <w:b/>
          <w:sz w:val="24"/>
        </w:rPr>
        <w:t>Plan Review</w:t>
      </w:r>
    </w:p>
    <w:p w:rsidR="00C806AA" w:rsidRDefault="00C806AA" w:rsidP="00C806AA">
      <w:pPr>
        <w:spacing w:after="0"/>
      </w:pPr>
    </w:p>
    <w:p w:rsidR="00C806AA" w:rsidRDefault="00C806AA" w:rsidP="00C806AA">
      <w:pPr>
        <w:spacing w:after="0"/>
      </w:pPr>
      <w:r>
        <w:t xml:space="preserve">OWIB member volunteers will participate in the review and scoring of local strategic plans.  </w:t>
      </w:r>
      <w:r w:rsidR="001D2B3C">
        <w:t>T</w:t>
      </w:r>
      <w:r>
        <w:t xml:space="preserve">he review </w:t>
      </w:r>
      <w:r w:rsidR="001D2B3C">
        <w:t xml:space="preserve">time </w:t>
      </w:r>
      <w:r>
        <w:t xml:space="preserve">will be compressed and </w:t>
      </w:r>
      <w:r w:rsidR="005C0AD0">
        <w:t xml:space="preserve">members </w:t>
      </w:r>
      <w:r w:rsidR="001D2B3C">
        <w:t>will need to commit to</w:t>
      </w:r>
      <w:r>
        <w:t xml:space="preserve"> read</w:t>
      </w:r>
      <w:r w:rsidR="005C0AD0">
        <w:t>ing</w:t>
      </w:r>
      <w:r>
        <w:t xml:space="preserve"> seven plans and scor</w:t>
      </w:r>
      <w:r w:rsidR="005C0AD0">
        <w:t>ing</w:t>
      </w:r>
      <w:r>
        <w:t xml:space="preserve"> them, and to participate in meetings (</w:t>
      </w:r>
      <w:r w:rsidR="001D2B3C">
        <w:t xml:space="preserve">most likely </w:t>
      </w:r>
      <w:r>
        <w:t xml:space="preserve">by </w:t>
      </w:r>
      <w:r w:rsidR="001D2B3C">
        <w:t>videoconferenc</w:t>
      </w:r>
      <w:r>
        <w:t>e)</w:t>
      </w:r>
      <w:r w:rsidR="001D2B3C">
        <w:t xml:space="preserve"> to read </w:t>
      </w:r>
      <w:r w:rsidR="00E36DA0">
        <w:t>revised</w:t>
      </w:r>
      <w:r w:rsidR="001D2B3C">
        <w:t xml:space="preserve"> submissions and meet</w:t>
      </w:r>
      <w:r>
        <w:t xml:space="preserve"> to consolidate feedback and make final recommendations for approval to the OWIB.</w:t>
      </w:r>
    </w:p>
    <w:p w:rsidR="00C806AA" w:rsidRDefault="00C806AA" w:rsidP="00C806AA">
      <w:pPr>
        <w:spacing w:after="0"/>
      </w:pPr>
    </w:p>
    <w:p w:rsidR="00C806AA" w:rsidRDefault="00C806AA" w:rsidP="00C806AA">
      <w:pPr>
        <w:spacing w:after="0"/>
      </w:pPr>
      <w:r>
        <w:t>There will be two revi</w:t>
      </w:r>
      <w:r w:rsidR="000F1C45">
        <w:t>ew teams:</w:t>
      </w:r>
      <w:r w:rsidR="001D2B3C">
        <w:t xml:space="preserve"> a S</w:t>
      </w:r>
      <w:r>
        <w:t xml:space="preserve">trategic </w:t>
      </w:r>
      <w:r w:rsidR="001D2B3C">
        <w:t>P</w:t>
      </w:r>
      <w:r>
        <w:t xml:space="preserve">lan </w:t>
      </w:r>
      <w:r w:rsidR="001D2B3C">
        <w:t>R</w:t>
      </w:r>
      <w:r>
        <w:t xml:space="preserve">eview Team and a </w:t>
      </w:r>
      <w:r w:rsidR="001D2B3C">
        <w:t>C</w:t>
      </w:r>
      <w:r>
        <w:t xml:space="preserve">ompliance Plan Review Team.  OWIB </w:t>
      </w:r>
      <w:r w:rsidR="001D2B3C">
        <w:t xml:space="preserve">members </w:t>
      </w:r>
      <w:r>
        <w:t xml:space="preserve">will participate along with staff and partner agencies </w:t>
      </w:r>
      <w:r w:rsidR="001D2B3C">
        <w:t xml:space="preserve">on the Strategic Plan Review Team, </w:t>
      </w:r>
      <w:r>
        <w:t xml:space="preserve">reviewing the strategic plans, not the compliance plans.  </w:t>
      </w:r>
    </w:p>
    <w:p w:rsidR="00DA583A" w:rsidRDefault="00DA583A" w:rsidP="00C806AA">
      <w:pPr>
        <w:spacing w:after="0"/>
        <w:rPr>
          <w:sz w:val="24"/>
          <w:u w:val="single"/>
        </w:rPr>
      </w:pPr>
    </w:p>
    <w:p w:rsidR="00E36DA0" w:rsidRPr="00C806AA" w:rsidRDefault="00DA583A" w:rsidP="00C806AA">
      <w:pPr>
        <w:spacing w:after="0"/>
      </w:pPr>
      <w:r w:rsidRPr="00E36DA0">
        <w:rPr>
          <w:sz w:val="24"/>
          <w:u w:val="single"/>
        </w:rPr>
        <w:t>Timeline</w:t>
      </w:r>
      <w:r>
        <w:rPr>
          <w:sz w:val="24"/>
        </w:rPr>
        <w:t xml:space="preserve"> -- </w:t>
      </w:r>
      <w:r w:rsidRPr="00A97154">
        <w:rPr>
          <w:shd w:val="clear" w:color="auto" w:fill="92CDDC" w:themeFill="accent5" w:themeFillTint="99"/>
        </w:rPr>
        <w:t>meetings are highlighted</w:t>
      </w:r>
      <w:r>
        <w:rPr>
          <w:shd w:val="clear" w:color="auto" w:fill="92CDDC" w:themeFill="accent5" w:themeFillTint="99"/>
        </w:rPr>
        <w:t xml:space="preserve"> in blue</w:t>
      </w:r>
    </w:p>
    <w:p w:rsidR="00C806AA" w:rsidRPr="00C806AA" w:rsidRDefault="00C806AA" w:rsidP="00C806AA">
      <w:pPr>
        <w:spacing w:after="0"/>
        <w:rPr>
          <w:sz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98"/>
        <w:gridCol w:w="2340"/>
      </w:tblGrid>
      <w:tr w:rsidR="005E2948" w:rsidTr="00506198">
        <w:tc>
          <w:tcPr>
            <w:tcW w:w="7398" w:type="dxa"/>
          </w:tcPr>
          <w:p w:rsidR="005E2948" w:rsidRDefault="005E2948" w:rsidP="00C806AA">
            <w:r>
              <w:t>Local plans due to CCWD</w:t>
            </w:r>
          </w:p>
        </w:tc>
        <w:tc>
          <w:tcPr>
            <w:tcW w:w="2340" w:type="dxa"/>
          </w:tcPr>
          <w:p w:rsidR="005E2948" w:rsidRDefault="005E2948" w:rsidP="00C806AA">
            <w:r>
              <w:t>10/31/12</w:t>
            </w:r>
          </w:p>
        </w:tc>
      </w:tr>
      <w:tr w:rsidR="005E2948" w:rsidTr="00506198">
        <w:tc>
          <w:tcPr>
            <w:tcW w:w="7398" w:type="dxa"/>
          </w:tcPr>
          <w:p w:rsidR="005E2948" w:rsidRDefault="005E2948" w:rsidP="005C0AD0">
            <w:r>
              <w:t xml:space="preserve">Review teams read </w:t>
            </w:r>
            <w:r w:rsidR="005C0AD0">
              <w:t>plan</w:t>
            </w:r>
            <w:r>
              <w:t>s and complete evaluation forms</w:t>
            </w:r>
          </w:p>
        </w:tc>
        <w:tc>
          <w:tcPr>
            <w:tcW w:w="2340" w:type="dxa"/>
          </w:tcPr>
          <w:p w:rsidR="005E2948" w:rsidRDefault="005E2948" w:rsidP="00C806AA">
            <w:r>
              <w:t>11/1/12 – 11/2/12</w:t>
            </w:r>
          </w:p>
        </w:tc>
      </w:tr>
      <w:tr w:rsidR="005E2948" w:rsidTr="00A97154">
        <w:tc>
          <w:tcPr>
            <w:tcW w:w="7398" w:type="dxa"/>
            <w:shd w:val="clear" w:color="auto" w:fill="92CDDC" w:themeFill="accent5" w:themeFillTint="99"/>
          </w:tcPr>
          <w:p w:rsidR="005E2948" w:rsidRDefault="00C806AA" w:rsidP="00C806AA">
            <w:r>
              <w:t>Review</w:t>
            </w:r>
            <w:r w:rsidR="005E2948">
              <w:t xml:space="preserve"> team meets to review evaluation forms and consolidate feedback</w:t>
            </w:r>
            <w:r w:rsidR="00E36DA0">
              <w:t xml:space="preserve"> (most of a day)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5E2948" w:rsidRDefault="005E2948" w:rsidP="00C806AA">
            <w:r>
              <w:t xml:space="preserve">11/5/12 </w:t>
            </w:r>
          </w:p>
        </w:tc>
      </w:tr>
      <w:tr w:rsidR="005E2948" w:rsidTr="00506198">
        <w:tc>
          <w:tcPr>
            <w:tcW w:w="7398" w:type="dxa"/>
          </w:tcPr>
          <w:p w:rsidR="005E2948" w:rsidRDefault="001D2B3C" w:rsidP="001D2B3C">
            <w:r>
              <w:t>Staff c</w:t>
            </w:r>
            <w:r w:rsidR="005E2948">
              <w:t xml:space="preserve">ompile feedback and send out to each local area </w:t>
            </w:r>
          </w:p>
        </w:tc>
        <w:tc>
          <w:tcPr>
            <w:tcW w:w="2340" w:type="dxa"/>
          </w:tcPr>
          <w:p w:rsidR="005E2948" w:rsidRDefault="005E2948" w:rsidP="00C806AA">
            <w:r>
              <w:t>11/7/12</w:t>
            </w:r>
          </w:p>
        </w:tc>
      </w:tr>
      <w:tr w:rsidR="005E2948" w:rsidTr="00A97154">
        <w:tc>
          <w:tcPr>
            <w:tcW w:w="7398" w:type="dxa"/>
            <w:shd w:val="clear" w:color="auto" w:fill="92CDDC" w:themeFill="accent5" w:themeFillTint="99"/>
          </w:tcPr>
          <w:p w:rsidR="005E2948" w:rsidRDefault="005E2948" w:rsidP="00C806AA">
            <w:r>
              <w:t>Calls with Local Areas (see schedule below)</w:t>
            </w:r>
            <w:r w:rsidR="00E36DA0">
              <w:t xml:space="preserve"> (OWIB members participate as possible)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5E2948" w:rsidRDefault="005E2948" w:rsidP="00C806AA">
            <w:r>
              <w:t>11/8/12-11/9/12</w:t>
            </w:r>
          </w:p>
        </w:tc>
      </w:tr>
      <w:tr w:rsidR="005E2948" w:rsidTr="00506198">
        <w:tc>
          <w:tcPr>
            <w:tcW w:w="7398" w:type="dxa"/>
          </w:tcPr>
          <w:p w:rsidR="005E2948" w:rsidRDefault="005E2948" w:rsidP="00C806AA">
            <w:r>
              <w:t>Plans returned to local areas for revision</w:t>
            </w:r>
          </w:p>
        </w:tc>
        <w:tc>
          <w:tcPr>
            <w:tcW w:w="2340" w:type="dxa"/>
          </w:tcPr>
          <w:p w:rsidR="005E2948" w:rsidRDefault="005E2948" w:rsidP="00C806AA">
            <w:r>
              <w:t>No later than 11/13/12</w:t>
            </w:r>
          </w:p>
        </w:tc>
      </w:tr>
      <w:tr w:rsidR="005E2948" w:rsidTr="00506198">
        <w:tc>
          <w:tcPr>
            <w:tcW w:w="7398" w:type="dxa"/>
          </w:tcPr>
          <w:p w:rsidR="005E2948" w:rsidRDefault="005E2948" w:rsidP="00C806AA">
            <w:r>
              <w:t>Revised local plans due to CCWD</w:t>
            </w:r>
          </w:p>
        </w:tc>
        <w:tc>
          <w:tcPr>
            <w:tcW w:w="2340" w:type="dxa"/>
          </w:tcPr>
          <w:p w:rsidR="005E2948" w:rsidRDefault="005E2948" w:rsidP="00C806AA">
            <w:r>
              <w:t>11/30/12</w:t>
            </w:r>
          </w:p>
        </w:tc>
      </w:tr>
      <w:tr w:rsidR="005E2948" w:rsidTr="00506198">
        <w:tc>
          <w:tcPr>
            <w:tcW w:w="7398" w:type="dxa"/>
          </w:tcPr>
          <w:p w:rsidR="005E2948" w:rsidRDefault="005E2948" w:rsidP="00E36DA0">
            <w:r>
              <w:t xml:space="preserve">Review teams read revised </w:t>
            </w:r>
            <w:r w:rsidR="00E36DA0">
              <w:t>plans</w:t>
            </w:r>
            <w:r>
              <w:t xml:space="preserve"> and complete final reviews</w:t>
            </w:r>
          </w:p>
        </w:tc>
        <w:tc>
          <w:tcPr>
            <w:tcW w:w="2340" w:type="dxa"/>
          </w:tcPr>
          <w:p w:rsidR="005E2948" w:rsidRDefault="005E2948" w:rsidP="00C806AA">
            <w:r>
              <w:t>12/3/12-12/5/12</w:t>
            </w:r>
          </w:p>
        </w:tc>
      </w:tr>
      <w:tr w:rsidR="005E2948" w:rsidTr="00A97154">
        <w:tc>
          <w:tcPr>
            <w:tcW w:w="7398" w:type="dxa"/>
            <w:shd w:val="clear" w:color="auto" w:fill="92CDDC" w:themeFill="accent5" w:themeFillTint="99"/>
          </w:tcPr>
          <w:p w:rsidR="005E2948" w:rsidRDefault="005E2948" w:rsidP="001D2B3C">
            <w:r>
              <w:t>Final discussion of plans and finalization of recommendations to OWIB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5E2948" w:rsidRDefault="005E2948" w:rsidP="00C806AA">
            <w:r>
              <w:t>12/6/12</w:t>
            </w:r>
          </w:p>
        </w:tc>
      </w:tr>
      <w:tr w:rsidR="005E2948" w:rsidTr="00506198">
        <w:tc>
          <w:tcPr>
            <w:tcW w:w="7398" w:type="dxa"/>
          </w:tcPr>
          <w:p w:rsidR="005E2948" w:rsidRDefault="005E2948" w:rsidP="00C806AA">
            <w:r>
              <w:t>OWIB Packet Distributed to Members</w:t>
            </w:r>
          </w:p>
        </w:tc>
        <w:tc>
          <w:tcPr>
            <w:tcW w:w="2340" w:type="dxa"/>
          </w:tcPr>
          <w:p w:rsidR="005E2948" w:rsidRDefault="005E2948" w:rsidP="00C806AA">
            <w:r>
              <w:t>12/7/12</w:t>
            </w:r>
          </w:p>
        </w:tc>
      </w:tr>
      <w:tr w:rsidR="005E2948" w:rsidTr="00A97154">
        <w:tc>
          <w:tcPr>
            <w:tcW w:w="7398" w:type="dxa"/>
            <w:shd w:val="clear" w:color="auto" w:fill="92CDDC" w:themeFill="accent5" w:themeFillTint="99"/>
          </w:tcPr>
          <w:p w:rsidR="005E2948" w:rsidRDefault="005E2948" w:rsidP="00C806AA">
            <w:r>
              <w:t>Full OWIB approval of Local Strategic Plans</w:t>
            </w:r>
          </w:p>
        </w:tc>
        <w:tc>
          <w:tcPr>
            <w:tcW w:w="2340" w:type="dxa"/>
            <w:shd w:val="clear" w:color="auto" w:fill="92CDDC" w:themeFill="accent5" w:themeFillTint="99"/>
          </w:tcPr>
          <w:p w:rsidR="005E2948" w:rsidRDefault="005E2948" w:rsidP="00C806AA">
            <w:r>
              <w:t>12/14/12</w:t>
            </w:r>
          </w:p>
        </w:tc>
      </w:tr>
    </w:tbl>
    <w:p w:rsidR="000F1C45" w:rsidRDefault="000F1C45" w:rsidP="00C806AA">
      <w:pPr>
        <w:spacing w:after="0"/>
      </w:pPr>
    </w:p>
    <w:p w:rsidR="00DA583A" w:rsidRDefault="00DA583A" w:rsidP="00C806AA">
      <w:pPr>
        <w:spacing w:after="0"/>
      </w:pPr>
      <w:r>
        <w:t>Strategic Plan Review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DA583A" w:rsidTr="00C806AA">
        <w:tc>
          <w:tcPr>
            <w:tcW w:w="3528" w:type="dxa"/>
          </w:tcPr>
          <w:p w:rsidR="00DA583A" w:rsidRDefault="00DA583A" w:rsidP="005078BD">
            <w:r w:rsidRPr="005078BD">
              <w:t xml:space="preserve">OWIB members 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0F1C45">
            <w:r>
              <w:rPr>
                <w:highlight w:val="yellow"/>
              </w:rPr>
              <w:t>NCRC\CWRC I</w:t>
            </w:r>
            <w:r w:rsidRPr="00450B69">
              <w:rPr>
                <w:highlight w:val="yellow"/>
              </w:rPr>
              <w:t xml:space="preserve">mplementation </w:t>
            </w:r>
            <w:r>
              <w:rPr>
                <w:highlight w:val="yellow"/>
              </w:rPr>
              <w:t>Committee</w:t>
            </w:r>
            <w:r w:rsidRPr="00450B69">
              <w:rPr>
                <w:highlight w:val="yellow"/>
              </w:rPr>
              <w:t xml:space="preserve"> member</w:t>
            </w:r>
            <w:r>
              <w:rPr>
                <w:highlight w:val="yellow"/>
              </w:rPr>
              <w:t>(s)</w:t>
            </w:r>
            <w:r w:rsidRPr="00450B69">
              <w:rPr>
                <w:highlight w:val="yellow"/>
              </w:rPr>
              <w:t xml:space="preserve"> (TBD)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Greg White (OWIB Staff)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Agnes Balassa (Governor’s Office)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Karen Humelbaugh (CCWD)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Shalee Hodgson (CCWD)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Paul Hill (OED)</w:t>
            </w:r>
          </w:p>
        </w:tc>
      </w:tr>
      <w:tr w:rsidR="00DA583A" w:rsidRPr="005078BD" w:rsidTr="00C806AA">
        <w:tc>
          <w:tcPr>
            <w:tcW w:w="3528" w:type="dxa"/>
          </w:tcPr>
          <w:p w:rsidR="00DA583A" w:rsidRPr="00E36DA0" w:rsidRDefault="00DA583A" w:rsidP="00C806AA">
            <w:pPr>
              <w:rPr>
                <w:lang w:val="es-MX"/>
              </w:rPr>
            </w:pPr>
            <w:r w:rsidRPr="00E36DA0">
              <w:rPr>
                <w:lang w:val="es-MX"/>
              </w:rPr>
              <w:t xml:space="preserve">Carol </w:t>
            </w:r>
            <w:proofErr w:type="spellStart"/>
            <w:r w:rsidRPr="00E36DA0">
              <w:rPr>
                <w:lang w:val="es-MX"/>
              </w:rPr>
              <w:t>Lamon</w:t>
            </w:r>
            <w:proofErr w:type="spellEnd"/>
            <w:r w:rsidRPr="00E36DA0">
              <w:rPr>
                <w:lang w:val="es-MX"/>
              </w:rPr>
              <w:t xml:space="preserve"> / </w:t>
            </w:r>
            <w:proofErr w:type="spellStart"/>
            <w:r w:rsidRPr="00E36DA0">
              <w:rPr>
                <w:lang w:val="es-MX"/>
              </w:rPr>
              <w:t>Xochitl</w:t>
            </w:r>
            <w:proofErr w:type="spellEnd"/>
            <w:r w:rsidRPr="00E36DA0">
              <w:rPr>
                <w:lang w:val="es-MX"/>
              </w:rPr>
              <w:t xml:space="preserve"> Esparza (DHS)</w:t>
            </w:r>
          </w:p>
        </w:tc>
      </w:tr>
      <w:tr w:rsidR="00DA583A" w:rsidRPr="00450B69" w:rsidTr="00C806AA">
        <w:tc>
          <w:tcPr>
            <w:tcW w:w="3528" w:type="dxa"/>
          </w:tcPr>
          <w:p w:rsidR="00DA583A" w:rsidRPr="00450B69" w:rsidRDefault="00DA583A" w:rsidP="00C806AA">
            <w:pPr>
              <w:rPr>
                <w:highlight w:val="yellow"/>
              </w:rPr>
            </w:pPr>
            <w:r w:rsidRPr="004C207E">
              <w:t>Karen Goddin</w:t>
            </w:r>
            <w:r>
              <w:t xml:space="preserve"> (OBDD)</w:t>
            </w:r>
          </w:p>
        </w:tc>
      </w:tr>
      <w:tr w:rsidR="00DA583A" w:rsidTr="00C806AA">
        <w:tc>
          <w:tcPr>
            <w:tcW w:w="3528" w:type="dxa"/>
          </w:tcPr>
          <w:p w:rsidR="00DA583A" w:rsidRDefault="00DA583A" w:rsidP="00C806AA">
            <w:r>
              <w:t>Evelyn Roth (CCWD for CWRC)</w:t>
            </w:r>
          </w:p>
        </w:tc>
      </w:tr>
    </w:tbl>
    <w:p w:rsidR="00C806AA" w:rsidRDefault="00C806AA" w:rsidP="00C806AA">
      <w:pPr>
        <w:spacing w:after="0"/>
      </w:pPr>
    </w:p>
    <w:p w:rsidR="005E2948" w:rsidRDefault="005C0AD0" w:rsidP="00C806AA">
      <w:pPr>
        <w:spacing w:after="0"/>
      </w:pPr>
      <w:r>
        <w:t>Local Plan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170"/>
      </w:tblGrid>
      <w:tr w:rsidR="005E2948" w:rsidTr="00A97154">
        <w:tc>
          <w:tcPr>
            <w:tcW w:w="1818" w:type="dxa"/>
          </w:tcPr>
          <w:p w:rsidR="005E2948" w:rsidRDefault="00A97154" w:rsidP="00C806AA">
            <w:r>
              <w:t>Region 5</w:t>
            </w:r>
          </w:p>
        </w:tc>
        <w:tc>
          <w:tcPr>
            <w:tcW w:w="1530" w:type="dxa"/>
          </w:tcPr>
          <w:p w:rsidR="005E2948" w:rsidRDefault="00A97154" w:rsidP="00C806AA">
            <w:r>
              <w:t>11/8/12</w:t>
            </w:r>
          </w:p>
        </w:tc>
        <w:tc>
          <w:tcPr>
            <w:tcW w:w="1170" w:type="dxa"/>
          </w:tcPr>
          <w:p w:rsidR="005E2948" w:rsidRDefault="00A97154" w:rsidP="00C806AA">
            <w:r>
              <w:t>9:00</w:t>
            </w:r>
          </w:p>
        </w:tc>
      </w:tr>
      <w:tr w:rsidR="005E2948" w:rsidTr="00A97154">
        <w:tc>
          <w:tcPr>
            <w:tcW w:w="1818" w:type="dxa"/>
          </w:tcPr>
          <w:p w:rsidR="005E2948" w:rsidRDefault="00A97154" w:rsidP="00C806AA">
            <w:r>
              <w:t>Region 15</w:t>
            </w:r>
          </w:p>
        </w:tc>
        <w:tc>
          <w:tcPr>
            <w:tcW w:w="1530" w:type="dxa"/>
          </w:tcPr>
          <w:p w:rsidR="005E2948" w:rsidRDefault="00A97154" w:rsidP="00C806AA">
            <w:r>
              <w:t>11/8/12</w:t>
            </w:r>
          </w:p>
        </w:tc>
        <w:tc>
          <w:tcPr>
            <w:tcW w:w="1170" w:type="dxa"/>
          </w:tcPr>
          <w:p w:rsidR="005E2948" w:rsidRDefault="00A97154" w:rsidP="00C806AA">
            <w:r>
              <w:t>10:30</w:t>
            </w:r>
          </w:p>
        </w:tc>
      </w:tr>
      <w:tr w:rsidR="005E2948" w:rsidTr="00A97154">
        <w:tc>
          <w:tcPr>
            <w:tcW w:w="1818" w:type="dxa"/>
          </w:tcPr>
          <w:p w:rsidR="005E2948" w:rsidRDefault="00A97154" w:rsidP="00C806AA">
            <w:r>
              <w:t>Region 2</w:t>
            </w:r>
          </w:p>
        </w:tc>
        <w:tc>
          <w:tcPr>
            <w:tcW w:w="1530" w:type="dxa"/>
          </w:tcPr>
          <w:p w:rsidR="005E2948" w:rsidRDefault="00A97154" w:rsidP="00C806AA">
            <w:r>
              <w:t>11/8/12</w:t>
            </w:r>
          </w:p>
        </w:tc>
        <w:tc>
          <w:tcPr>
            <w:tcW w:w="1170" w:type="dxa"/>
          </w:tcPr>
          <w:p w:rsidR="005E2948" w:rsidRDefault="00A97154" w:rsidP="00C806AA">
            <w:r>
              <w:t>1:00</w:t>
            </w:r>
          </w:p>
        </w:tc>
      </w:tr>
      <w:tr w:rsidR="004067C7" w:rsidTr="00A97154">
        <w:tc>
          <w:tcPr>
            <w:tcW w:w="1818" w:type="dxa"/>
          </w:tcPr>
          <w:p w:rsidR="004067C7" w:rsidRDefault="004067C7" w:rsidP="002E1732">
            <w:r>
              <w:t>TOC\OWA</w:t>
            </w:r>
          </w:p>
        </w:tc>
        <w:tc>
          <w:tcPr>
            <w:tcW w:w="1530" w:type="dxa"/>
          </w:tcPr>
          <w:p w:rsidR="004067C7" w:rsidRDefault="004067C7" w:rsidP="002E1732">
            <w:r>
              <w:t>11/8/12</w:t>
            </w:r>
          </w:p>
        </w:tc>
        <w:tc>
          <w:tcPr>
            <w:tcW w:w="1170" w:type="dxa"/>
          </w:tcPr>
          <w:p w:rsidR="004067C7" w:rsidRDefault="004067C7" w:rsidP="002E1732">
            <w:r>
              <w:t>3:00</w:t>
            </w:r>
          </w:p>
        </w:tc>
      </w:tr>
      <w:tr w:rsidR="004067C7" w:rsidTr="00A97154">
        <w:tc>
          <w:tcPr>
            <w:tcW w:w="1818" w:type="dxa"/>
          </w:tcPr>
          <w:p w:rsidR="004067C7" w:rsidRDefault="004067C7" w:rsidP="00C806AA">
            <w:r>
              <w:t>Region 3</w:t>
            </w:r>
          </w:p>
        </w:tc>
        <w:tc>
          <w:tcPr>
            <w:tcW w:w="1530" w:type="dxa"/>
          </w:tcPr>
          <w:p w:rsidR="004067C7" w:rsidRDefault="004067C7" w:rsidP="00C806AA">
            <w:r>
              <w:t>11/9/12</w:t>
            </w:r>
          </w:p>
        </w:tc>
        <w:tc>
          <w:tcPr>
            <w:tcW w:w="1170" w:type="dxa"/>
          </w:tcPr>
          <w:p w:rsidR="004067C7" w:rsidRDefault="004067C7" w:rsidP="00C806AA">
            <w:r>
              <w:t>9:00</w:t>
            </w:r>
          </w:p>
        </w:tc>
      </w:tr>
      <w:tr w:rsidR="004067C7" w:rsidTr="00A97154">
        <w:tc>
          <w:tcPr>
            <w:tcW w:w="1818" w:type="dxa"/>
          </w:tcPr>
          <w:p w:rsidR="004067C7" w:rsidRDefault="004067C7" w:rsidP="00C806AA">
            <w:r>
              <w:t>Region 4</w:t>
            </w:r>
          </w:p>
        </w:tc>
        <w:tc>
          <w:tcPr>
            <w:tcW w:w="1530" w:type="dxa"/>
          </w:tcPr>
          <w:p w:rsidR="004067C7" w:rsidRDefault="004067C7" w:rsidP="00C806AA">
            <w:r>
              <w:t>11/9/12</w:t>
            </w:r>
          </w:p>
        </w:tc>
        <w:tc>
          <w:tcPr>
            <w:tcW w:w="1170" w:type="dxa"/>
          </w:tcPr>
          <w:p w:rsidR="004067C7" w:rsidRDefault="004067C7" w:rsidP="00C806AA">
            <w:r>
              <w:t>11:00</w:t>
            </w:r>
          </w:p>
        </w:tc>
      </w:tr>
      <w:tr w:rsidR="004067C7" w:rsidTr="00A97154">
        <w:tc>
          <w:tcPr>
            <w:tcW w:w="1818" w:type="dxa"/>
          </w:tcPr>
          <w:p w:rsidR="004067C7" w:rsidRDefault="004067C7" w:rsidP="00C806AA">
            <w:r>
              <w:t>Region 8</w:t>
            </w:r>
          </w:p>
        </w:tc>
        <w:tc>
          <w:tcPr>
            <w:tcW w:w="1530" w:type="dxa"/>
          </w:tcPr>
          <w:p w:rsidR="004067C7" w:rsidRDefault="004067C7" w:rsidP="00C806AA">
            <w:r>
              <w:t>11/9/12</w:t>
            </w:r>
          </w:p>
        </w:tc>
        <w:tc>
          <w:tcPr>
            <w:tcW w:w="1170" w:type="dxa"/>
          </w:tcPr>
          <w:p w:rsidR="004067C7" w:rsidRDefault="004067C7" w:rsidP="00C806AA">
            <w:r>
              <w:t>1:30</w:t>
            </w:r>
          </w:p>
        </w:tc>
      </w:tr>
    </w:tbl>
    <w:p w:rsidR="005E2948" w:rsidRDefault="005E2948" w:rsidP="00C806AA">
      <w:pPr>
        <w:spacing w:after="0"/>
      </w:pPr>
    </w:p>
    <w:sectPr w:rsidR="005E2948" w:rsidSect="001D2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C7" w:rsidRDefault="002464C7" w:rsidP="00574BA7">
      <w:pPr>
        <w:spacing w:after="0" w:line="240" w:lineRule="auto"/>
      </w:pPr>
      <w:r>
        <w:separator/>
      </w:r>
    </w:p>
  </w:endnote>
  <w:endnote w:type="continuationSeparator" w:id="0">
    <w:p w:rsidR="002464C7" w:rsidRDefault="002464C7" w:rsidP="0057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C7" w:rsidRDefault="002464C7" w:rsidP="00574BA7">
      <w:pPr>
        <w:spacing w:after="0" w:line="240" w:lineRule="auto"/>
      </w:pPr>
      <w:r>
        <w:separator/>
      </w:r>
    </w:p>
  </w:footnote>
  <w:footnote w:type="continuationSeparator" w:id="0">
    <w:p w:rsidR="002464C7" w:rsidRDefault="002464C7" w:rsidP="0057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6"/>
    <w:rsid w:val="00087C80"/>
    <w:rsid w:val="000B5427"/>
    <w:rsid w:val="000F1C45"/>
    <w:rsid w:val="001534DB"/>
    <w:rsid w:val="0018467F"/>
    <w:rsid w:val="001D2B3C"/>
    <w:rsid w:val="002464C7"/>
    <w:rsid w:val="002D5A60"/>
    <w:rsid w:val="003C10EC"/>
    <w:rsid w:val="004067C7"/>
    <w:rsid w:val="00450B69"/>
    <w:rsid w:val="004867C2"/>
    <w:rsid w:val="004C207E"/>
    <w:rsid w:val="00506198"/>
    <w:rsid w:val="005078BD"/>
    <w:rsid w:val="005236DF"/>
    <w:rsid w:val="00574BA7"/>
    <w:rsid w:val="00574EBD"/>
    <w:rsid w:val="005C0AD0"/>
    <w:rsid w:val="005E2948"/>
    <w:rsid w:val="00663A1A"/>
    <w:rsid w:val="006F2CB2"/>
    <w:rsid w:val="00736A73"/>
    <w:rsid w:val="0076129F"/>
    <w:rsid w:val="00801A3E"/>
    <w:rsid w:val="00934440"/>
    <w:rsid w:val="009C2F38"/>
    <w:rsid w:val="00A97154"/>
    <w:rsid w:val="00AB4246"/>
    <w:rsid w:val="00C76982"/>
    <w:rsid w:val="00C806AA"/>
    <w:rsid w:val="00DA583A"/>
    <w:rsid w:val="00E16B92"/>
    <w:rsid w:val="00E36DA0"/>
    <w:rsid w:val="00E46316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A7"/>
  </w:style>
  <w:style w:type="paragraph" w:styleId="Footer">
    <w:name w:val="footer"/>
    <w:basedOn w:val="Normal"/>
    <w:link w:val="FooterChar"/>
    <w:uiPriority w:val="99"/>
    <w:unhideWhenUsed/>
    <w:rsid w:val="0057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A7"/>
  </w:style>
  <w:style w:type="character" w:styleId="CommentReference">
    <w:name w:val="annotation reference"/>
    <w:basedOn w:val="DefaultParagraphFont"/>
    <w:uiPriority w:val="99"/>
    <w:semiHidden/>
    <w:unhideWhenUsed/>
    <w:rsid w:val="002D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A7"/>
  </w:style>
  <w:style w:type="paragraph" w:styleId="Footer">
    <w:name w:val="footer"/>
    <w:basedOn w:val="Normal"/>
    <w:link w:val="FooterChar"/>
    <w:uiPriority w:val="99"/>
    <w:unhideWhenUsed/>
    <w:rsid w:val="00574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A7"/>
  </w:style>
  <w:style w:type="character" w:styleId="CommentReference">
    <w:name w:val="annotation reference"/>
    <w:basedOn w:val="DefaultParagraphFont"/>
    <w:uiPriority w:val="99"/>
    <w:semiHidden/>
    <w:unhideWhenUsed/>
    <w:rsid w:val="002D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Shalee L. Hodgson</dc:creator>
  <cp:lastModifiedBy>Shalee L. Hodgson</cp:lastModifiedBy>
  <cp:revision>2</cp:revision>
  <cp:lastPrinted>2012-11-05T15:49:00Z</cp:lastPrinted>
  <dcterms:created xsi:type="dcterms:W3CDTF">2012-11-05T15:49:00Z</dcterms:created>
  <dcterms:modified xsi:type="dcterms:W3CDTF">2012-11-05T15:49:00Z</dcterms:modified>
</cp:coreProperties>
</file>